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D7" w:rsidRDefault="00094BD7" w:rsidP="00094BD7">
      <w:pPr>
        <w:pStyle w:val="En-t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23A85" wp14:editId="559BBDAF">
                <wp:simplePos x="0" y="0"/>
                <wp:positionH relativeFrom="column">
                  <wp:posOffset>5595029</wp:posOffset>
                </wp:positionH>
                <wp:positionV relativeFrom="paragraph">
                  <wp:posOffset>12065</wp:posOffset>
                </wp:positionV>
                <wp:extent cx="3004820" cy="733647"/>
                <wp:effectExtent l="0" t="0" r="508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4820" cy="73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93F" w:rsidRPr="000F3E50" w:rsidRDefault="00B1593F" w:rsidP="00094BD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Tél : 2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1 30 10 20 – Fax : 21 30 18 51</w:t>
                            </w:r>
                          </w:p>
                          <w:p w:rsidR="00B1593F" w:rsidRPr="000F3E50" w:rsidRDefault="00B1593F" w:rsidP="00094BD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01 BP :</w:t>
                            </w:r>
                            <w:r w:rsidRPr="000F3E50">
                              <w:rPr>
                                <w:rFonts w:ascii="Segoe UI" w:hAnsi="Segoe UI" w:cs="Segoe UI"/>
                              </w:rPr>
                              <w:t xml:space="preserve"> 302 </w:t>
                            </w:r>
                            <w:r w:rsidRPr="000F3E50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COTONOU – ROUTE DE L’AEROPORT</w:t>
                            </w:r>
                          </w:p>
                          <w:p w:rsidR="00B1593F" w:rsidRPr="000F3E50" w:rsidRDefault="00B1593F" w:rsidP="00094BD7">
                            <w:p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www.finances.bj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23A8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40.55pt;margin-top:.95pt;width:236.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B1593F" w:rsidRPr="000F3E50" w:rsidRDefault="00B1593F" w:rsidP="00094BD7">
                      <w:p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Tél : 2</w:t>
                      </w:r>
                      <w:r>
                        <w:rPr>
                          <w:rFonts w:ascii="Segoe UI" w:hAnsi="Segoe UI" w:cs="Segoe UI"/>
                        </w:rPr>
                        <w:t>1 30 10 20 – Fax : 21 30 18 51</w:t>
                      </w:r>
                    </w:p>
                    <w:p w:rsidR="00B1593F" w:rsidRPr="000F3E50" w:rsidRDefault="00B1593F" w:rsidP="00094BD7">
                      <w:pPr>
                        <w:spacing w:line="276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01 BP :</w:t>
                      </w:r>
                      <w:r w:rsidRPr="000F3E50">
                        <w:rPr>
                          <w:rFonts w:ascii="Segoe UI" w:hAnsi="Segoe UI" w:cs="Segoe UI"/>
                        </w:rPr>
                        <w:t xml:space="preserve"> 302 </w:t>
                      </w:r>
                      <w:r w:rsidRPr="000F3E50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COTONOU – ROUTE DE L’AEROPORT</w:t>
                      </w:r>
                    </w:p>
                    <w:p w:rsidR="00B1593F" w:rsidRPr="000F3E50" w:rsidRDefault="00B1593F" w:rsidP="00094BD7">
                      <w:p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www.finances.bj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2C8B359" wp14:editId="78952FD3">
            <wp:extent cx="3273425" cy="839973"/>
            <wp:effectExtent l="0" t="0" r="0" b="0"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5761" cy="85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D7" w:rsidRDefault="00094BD7" w:rsidP="00094BD7">
      <w:pPr>
        <w:spacing w:line="276" w:lineRule="auto"/>
        <w:jc w:val="center"/>
        <w:rPr>
          <w:rFonts w:ascii="Montserrat Light" w:hAnsi="Montserrat Light"/>
          <w:b/>
          <w:bCs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094BD7" w:rsidTr="00094BD7">
        <w:trPr>
          <w:trHeight w:val="464"/>
        </w:trPr>
        <w:tc>
          <w:tcPr>
            <w:tcW w:w="10665" w:type="dxa"/>
            <w:vAlign w:val="center"/>
          </w:tcPr>
          <w:p w:rsidR="00094BD7" w:rsidRDefault="00094BD7" w:rsidP="00094BD7">
            <w:pPr>
              <w:jc w:val="center"/>
              <w:rPr>
                <w:rFonts w:ascii="Trebuchet MS" w:hAnsi="Trebuchet MS"/>
                <w:b/>
                <w:bCs/>
                <w:sz w:val="24"/>
                <w:szCs w:val="26"/>
              </w:rPr>
            </w:pPr>
            <w:r w:rsidRPr="00F02A9B">
              <w:rPr>
                <w:rFonts w:ascii="Trebuchet MS" w:hAnsi="Trebuchet MS"/>
                <w:b/>
                <w:bCs/>
                <w:sz w:val="24"/>
                <w:szCs w:val="26"/>
              </w:rPr>
              <w:t>INST</w:t>
            </w:r>
            <w:r>
              <w:rPr>
                <w:rFonts w:ascii="Trebuchet MS" w:hAnsi="Trebuchet MS"/>
                <w:b/>
                <w:bCs/>
                <w:sz w:val="24"/>
                <w:szCs w:val="26"/>
              </w:rPr>
              <w:t>ITUT NATIONAL DE LA STATISTIQUE ET DE LA DEMOGRAPHIE</w:t>
            </w:r>
          </w:p>
          <w:p w:rsidR="00094BD7" w:rsidRDefault="00094BD7" w:rsidP="00094BD7">
            <w:pPr>
              <w:jc w:val="center"/>
              <w:rPr>
                <w:rFonts w:ascii="Trebuchet MS" w:hAnsi="Trebuchet MS"/>
                <w:bCs/>
                <w:sz w:val="26"/>
                <w:szCs w:val="26"/>
                <w:lang w:val="pt-BR"/>
              </w:rPr>
            </w:pPr>
            <w:r>
              <w:rPr>
                <w:rFonts w:ascii="Trebuchet MS" w:hAnsi="Trebuchet MS"/>
                <w:bCs/>
                <w:sz w:val="26"/>
                <w:szCs w:val="26"/>
                <w:lang w:val="pt-BR"/>
              </w:rPr>
              <w:t>------------</w:t>
            </w:r>
          </w:p>
          <w:p w:rsidR="00094BD7" w:rsidRDefault="00094BD7" w:rsidP="00094BD7">
            <w:pPr>
              <w:jc w:val="center"/>
              <w:rPr>
                <w:rFonts w:ascii="Trebuchet MS" w:hAnsi="Trebuchet MS"/>
                <w:bCs/>
                <w:sz w:val="26"/>
                <w:szCs w:val="26"/>
                <w:lang w:val="pt-BR"/>
              </w:rPr>
            </w:pPr>
            <w:r w:rsidRPr="00094BD7">
              <w:rPr>
                <w:rFonts w:ascii="Trebuchet MS" w:hAnsi="Trebuchet MS"/>
                <w:bCs/>
                <w:szCs w:val="26"/>
                <w:lang w:val="pt-BR"/>
              </w:rPr>
              <w:t>DIRECTION DES STATISTIQUE</w:t>
            </w:r>
            <w:r>
              <w:rPr>
                <w:rFonts w:ascii="Trebuchet MS" w:hAnsi="Trebuchet MS"/>
                <w:bCs/>
                <w:szCs w:val="26"/>
                <w:lang w:val="pt-BR"/>
              </w:rPr>
              <w:t>S</w:t>
            </w:r>
            <w:r w:rsidRPr="00094BD7">
              <w:rPr>
                <w:rFonts w:ascii="Trebuchet MS" w:hAnsi="Trebuchet MS"/>
                <w:bCs/>
                <w:szCs w:val="26"/>
                <w:lang w:val="pt-BR"/>
              </w:rPr>
              <w:t xml:space="preserve"> SOCIALE</w:t>
            </w:r>
            <w:r>
              <w:rPr>
                <w:rFonts w:ascii="Trebuchet MS" w:hAnsi="Trebuchet MS"/>
                <w:bCs/>
                <w:szCs w:val="26"/>
                <w:lang w:val="pt-BR"/>
              </w:rPr>
              <w:t>S</w:t>
            </w:r>
          </w:p>
        </w:tc>
      </w:tr>
    </w:tbl>
    <w:p w:rsidR="00094BD7" w:rsidRDefault="00094BD7" w:rsidP="00094BD7">
      <w:pPr>
        <w:tabs>
          <w:tab w:val="left" w:pos="3483"/>
        </w:tabs>
        <w:spacing w:line="276" w:lineRule="auto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ab/>
      </w:r>
    </w:p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94BD7" w:rsidRDefault="00094BD7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Evolution hebdomadaire de</w:t>
      </w:r>
      <w:r w:rsidR="00BE5A34">
        <w:rPr>
          <w:rFonts w:ascii="Montserrat Light" w:hAnsi="Montserrat Light" w:cs="Times New Roman"/>
          <w:b/>
          <w:color w:val="000000"/>
          <w:sz w:val="20"/>
          <w:szCs w:val="20"/>
        </w:rPr>
        <w:t>s</w:t>
      </w: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prix des produits de grande consommation et leur variation dans certaines </w:t>
      </w:r>
      <w:r w:rsidR="00054ECD"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villes </w:t>
      </w: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principales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4807FF">
        <w:rPr>
          <w:rFonts w:ascii="Montserrat Light" w:hAnsi="Montserrat Light" w:cs="Times New Roman"/>
          <w:b/>
          <w:color w:val="000000"/>
          <w:sz w:val="20"/>
          <w:szCs w:val="20"/>
        </w:rPr>
        <w:t>20</w:t>
      </w:r>
      <w:r w:rsidR="00AA02C1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914C34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au </w:t>
      </w:r>
      <w:r w:rsidR="004807FF">
        <w:rPr>
          <w:rFonts w:ascii="Montserrat Light" w:hAnsi="Montserrat Light" w:cs="Times New Roman"/>
          <w:b/>
          <w:color w:val="000000"/>
          <w:sz w:val="20"/>
          <w:szCs w:val="20"/>
        </w:rPr>
        <w:t>26</w:t>
      </w:r>
      <w:r w:rsidR="00FB028A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septembre </w:t>
      </w:r>
      <w:r w:rsidR="008B0EC6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>2021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4A112E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292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536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566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</w:tr>
      <w:tr w:rsidR="004807FF" w:rsidRPr="002E11DC" w:rsidTr="00407AD8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645</w:t>
            </w:r>
          </w:p>
        </w:tc>
      </w:tr>
      <w:tr w:rsidR="004807FF" w:rsidRPr="002E11DC" w:rsidTr="00407AD8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</w:tr>
      <w:tr w:rsidR="004807FF" w:rsidRPr="002E11DC" w:rsidTr="00AA02C1">
        <w:trPr>
          <w:trHeight w:val="348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482</w:t>
            </w:r>
          </w:p>
        </w:tc>
      </w:tr>
      <w:tr w:rsidR="004807FF" w:rsidRPr="002E11DC" w:rsidTr="00AA02C1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-2,2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</w:t>
            </w:r>
          </w:p>
        </w:tc>
      </w:tr>
      <w:tr w:rsidR="004807FF" w:rsidRPr="002E11DC" w:rsidTr="0087243C">
        <w:trPr>
          <w:trHeight w:val="256"/>
          <w:jc w:val="center"/>
        </w:trPr>
        <w:tc>
          <w:tcPr>
            <w:tcW w:w="3856" w:type="dxa"/>
            <w:vMerge/>
            <w:vAlign w:val="bottom"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</w:tr>
      <w:tr w:rsidR="004807FF" w:rsidRPr="002E11DC" w:rsidTr="004807FF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</w:t>
            </w:r>
          </w:p>
        </w:tc>
      </w:tr>
      <w:tr w:rsidR="004807FF" w:rsidRPr="002E11DC" w:rsidTr="004807FF">
        <w:trPr>
          <w:trHeight w:val="261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574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364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18,2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561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-33,6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-2,9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406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4,9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850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4,0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525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</w:tr>
      <w:tr w:rsidR="004807FF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367</w:t>
            </w:r>
          </w:p>
        </w:tc>
      </w:tr>
      <w:tr w:rsidR="004807FF" w:rsidRPr="002E11DC" w:rsidTr="004A112E">
        <w:trPr>
          <w:trHeight w:val="473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-4,2</w:t>
            </w:r>
          </w:p>
        </w:tc>
      </w:tr>
      <w:tr w:rsidR="004807FF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4807FF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7 633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7 375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4807FF" w:rsidRPr="002E11DC" w:rsidTr="0087243C">
        <w:trPr>
          <w:trHeight w:val="398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1 533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-2,2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1 083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807FF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4807FF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</w:tr>
      <w:tr w:rsidR="004807FF" w:rsidRPr="002E11DC" w:rsidTr="004A112E">
        <w:trPr>
          <w:trHeight w:val="499"/>
          <w:jc w:val="center"/>
        </w:trPr>
        <w:tc>
          <w:tcPr>
            <w:tcW w:w="3856" w:type="dxa"/>
            <w:vMerge/>
            <w:vAlign w:val="bottom"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</w:tr>
      <w:tr w:rsidR="004807FF" w:rsidRPr="002E11DC" w:rsidTr="004807FF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73 333</w:t>
            </w:r>
          </w:p>
        </w:tc>
      </w:tr>
      <w:tr w:rsidR="004807FF" w:rsidRPr="002E11DC" w:rsidTr="004807FF">
        <w:trPr>
          <w:trHeight w:val="55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628 333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628 333</w:t>
            </w:r>
          </w:p>
        </w:tc>
      </w:tr>
      <w:tr w:rsidR="004807FF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807FF" w:rsidRPr="002E11DC" w:rsidRDefault="004807FF" w:rsidP="004807FF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807FF" w:rsidRPr="002E11DC" w:rsidRDefault="004807FF" w:rsidP="004807FF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807FF" w:rsidRDefault="004807FF" w:rsidP="004807FF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</w:tr>
    </w:tbl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="00EE5DB4">
        <w:rPr>
          <w:rFonts w:ascii="Montserrat Light" w:hAnsi="Montserrat Light" w:cs="Times New Roman"/>
          <w:sz w:val="20"/>
          <w:szCs w:val="20"/>
        </w:rPr>
        <w:t> : DSS/</w:t>
      </w:r>
      <w:proofErr w:type="spellStart"/>
      <w:r w:rsidR="00EE5DB4">
        <w:rPr>
          <w:rFonts w:ascii="Montserrat Light" w:hAnsi="Montserrat Light" w:cs="Times New Roman"/>
          <w:sz w:val="20"/>
          <w:szCs w:val="20"/>
        </w:rPr>
        <w:t>INS</w:t>
      </w:r>
      <w:r w:rsidR="00914C34">
        <w:rPr>
          <w:rFonts w:ascii="Montserrat Light" w:hAnsi="Montserrat Light" w:cs="Times New Roman"/>
          <w:sz w:val="20"/>
          <w:szCs w:val="20"/>
        </w:rPr>
        <w:t>at</w:t>
      </w:r>
      <w:r w:rsidR="00EE5DB4">
        <w:rPr>
          <w:rFonts w:ascii="Montserrat Light" w:hAnsi="Montserrat Light" w:cs="Times New Roman"/>
          <w:sz w:val="20"/>
          <w:szCs w:val="20"/>
        </w:rPr>
        <w:t>D</w:t>
      </w:r>
      <w:proofErr w:type="spellEnd"/>
      <w:r w:rsidRPr="00A43930">
        <w:rPr>
          <w:rFonts w:ascii="Montserrat Light" w:hAnsi="Montserrat Light" w:cs="Times New Roman"/>
          <w:sz w:val="20"/>
          <w:szCs w:val="20"/>
        </w:rPr>
        <w:t xml:space="preserve">, </w:t>
      </w:r>
      <w:r w:rsidR="004300FD">
        <w:rPr>
          <w:rFonts w:ascii="Montserrat Light" w:hAnsi="Montserrat Light" w:cs="Times New Roman"/>
          <w:sz w:val="20"/>
          <w:szCs w:val="20"/>
        </w:rPr>
        <w:t>2</w:t>
      </w:r>
      <w:r w:rsidR="004807FF">
        <w:rPr>
          <w:rFonts w:ascii="Montserrat Light" w:hAnsi="Montserrat Light" w:cs="Times New Roman"/>
          <w:sz w:val="20"/>
          <w:szCs w:val="20"/>
        </w:rPr>
        <w:t>8</w:t>
      </w:r>
      <w:r w:rsidR="00FB028A">
        <w:rPr>
          <w:rFonts w:ascii="Montserrat Light" w:hAnsi="Montserrat Light" w:cs="Times New Roman"/>
          <w:sz w:val="20"/>
          <w:szCs w:val="20"/>
        </w:rPr>
        <w:t xml:space="preserve"> septembre</w:t>
      </w:r>
      <w:r w:rsidR="00F84B76">
        <w:rPr>
          <w:rFonts w:ascii="Montserrat Light" w:hAnsi="Montserrat Light" w:cs="Times New Roman"/>
          <w:sz w:val="20"/>
          <w:szCs w:val="20"/>
        </w:rPr>
        <w:t xml:space="preserve"> </w:t>
      </w:r>
      <w:r w:rsidR="008B0EC6">
        <w:rPr>
          <w:rFonts w:ascii="Montserrat Light" w:hAnsi="Montserrat Light" w:cs="Times New Roman"/>
          <w:sz w:val="20"/>
          <w:szCs w:val="20"/>
        </w:rPr>
        <w:t>2021</w:t>
      </w:r>
      <w:r w:rsidRPr="00A43930">
        <w:rPr>
          <w:rFonts w:ascii="Montserrat Light" w:hAnsi="Montserrat Light" w:cs="Times New Roman"/>
          <w:sz w:val="20"/>
          <w:szCs w:val="20"/>
        </w:rPr>
        <w:t>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5936FD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B029AB" w:rsidP="005936F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sz w:val="20"/>
                <w:szCs w:val="20"/>
              </w:rPr>
              <w:t xml:space="preserve">            </w:t>
            </w:r>
            <w:r w:rsidR="004F4E4D"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/>
    <w:sectPr w:rsidR="00A9307A" w:rsidSect="0087243C">
      <w:footerReference w:type="default" r:id="rId8"/>
      <w:pgSz w:w="16838" w:h="11906" w:orient="landscape"/>
      <w:pgMar w:top="51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0C" w:rsidRDefault="00AF0B0C">
      <w:r>
        <w:separator/>
      </w:r>
    </w:p>
  </w:endnote>
  <w:endnote w:type="continuationSeparator" w:id="0">
    <w:p w:rsidR="00AF0B0C" w:rsidRDefault="00AF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3F" w:rsidRPr="00054ECD" w:rsidRDefault="00B1593F" w:rsidP="0087243C">
    <w:pPr>
      <w:pStyle w:val="Pieddepage"/>
      <w:pBdr>
        <w:bottom w:val="thinThickSmallGap" w:sz="24" w:space="1" w:color="339966"/>
      </w:pBdr>
    </w:pPr>
    <w:r w:rsidRPr="004A112E">
      <w:t xml:space="preserve"> </w:t>
    </w:r>
  </w:p>
  <w:p w:rsidR="00B1593F" w:rsidRPr="003E3088" w:rsidRDefault="00B1593F" w:rsidP="0087243C">
    <w:pPr>
      <w:pStyle w:val="Pieddepage"/>
      <w:tabs>
        <w:tab w:val="left" w:pos="6096"/>
        <w:tab w:val="left" w:pos="6379"/>
      </w:tabs>
      <w:jc w:val="center"/>
      <w:rPr>
        <w:rFonts w:ascii="Montserrat Light" w:hAnsi="Montserrat Light"/>
        <w:sz w:val="16"/>
        <w:szCs w:val="16"/>
      </w:rPr>
    </w:pPr>
    <w:r w:rsidRPr="003E3088">
      <w:rPr>
        <w:rFonts w:ascii="Montserrat Light" w:hAnsi="Montserrat Light"/>
        <w:sz w:val="16"/>
        <w:szCs w:val="16"/>
      </w:rPr>
      <w:t>Téléphone : 2</w:t>
    </w:r>
    <w:r>
      <w:rPr>
        <w:rFonts w:ascii="Montserrat Light" w:hAnsi="Montserrat Light"/>
        <w:sz w:val="16"/>
        <w:szCs w:val="16"/>
      </w:rPr>
      <w:t xml:space="preserve">1-30-82-44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     </w:t>
    </w:r>
    <w:r w:rsidRPr="003E3088">
      <w:rPr>
        <w:rFonts w:ascii="Montserrat Light" w:hAnsi="Montserrat Light"/>
        <w:sz w:val="16"/>
        <w:szCs w:val="16"/>
      </w:rPr>
      <w:t xml:space="preserve">01 B.P. : 323 </w:t>
    </w:r>
    <w:r w:rsidRPr="003E3088">
      <w:rPr>
        <w:rFonts w:ascii="Montserrat Light" w:hAnsi="Montserrat Light"/>
        <w:sz w:val="16"/>
        <w:szCs w:val="16"/>
        <w:lang w:val="pt-PT"/>
      </w:rPr>
      <w:t>COTONOU - BENIN</w:t>
    </w:r>
    <w:r w:rsidRPr="003E3088">
      <w:rPr>
        <w:rFonts w:ascii="Montserrat Light" w:hAnsi="Montserrat Light"/>
        <w:sz w:val="16"/>
        <w:szCs w:val="16"/>
      </w:rPr>
      <w:t xml:space="preserve">                 </w:t>
    </w:r>
    <w:r>
      <w:rPr>
        <w:rFonts w:ascii="Montserrat Light" w:hAnsi="Montserrat Light"/>
        <w:sz w:val="16"/>
        <w:szCs w:val="16"/>
      </w:rPr>
      <w:t xml:space="preserve">              </w:t>
    </w:r>
    <w:r w:rsidRPr="003E3088">
      <w:rPr>
        <w:rFonts w:ascii="Montserrat Light" w:hAnsi="Montserrat Light"/>
        <w:sz w:val="16"/>
        <w:szCs w:val="16"/>
      </w:rPr>
      <w:t>IFU : 4201001686513</w:t>
    </w:r>
  </w:p>
  <w:p w:rsidR="00B1593F" w:rsidRPr="00270350" w:rsidRDefault="00B1593F" w:rsidP="0087243C">
    <w:pPr>
      <w:pStyle w:val="Pieddepage"/>
      <w:jc w:val="center"/>
    </w:pPr>
    <w:r>
      <w:rPr>
        <w:rFonts w:ascii="Montserrat Light" w:hAnsi="Montserrat Light"/>
        <w:sz w:val="16"/>
        <w:szCs w:val="16"/>
        <w:lang w:val="pt-PT"/>
      </w:rPr>
      <w:t xml:space="preserve">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21-30-82-45 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E-mail : </w:t>
    </w:r>
    <w:hyperlink r:id="rId1" w:history="1">
      <w:r w:rsidRPr="00BE06B9">
        <w:rPr>
          <w:rStyle w:val="Lienhypertexte"/>
          <w:rFonts w:ascii="Montserrat Light" w:hAnsi="Montserrat Light"/>
          <w:sz w:val="16"/>
          <w:szCs w:val="16"/>
          <w:lang w:val="pt-PT"/>
        </w:rPr>
        <w:t>insae@insae.bj</w:t>
      </w:r>
    </w:hyperlink>
    <w:r>
      <w:rPr>
        <w:rFonts w:ascii="Montserrat Light" w:hAnsi="Montserrat Light"/>
        <w:sz w:val="16"/>
        <w:szCs w:val="16"/>
        <w:lang w:val="pt-PT"/>
      </w:rPr>
      <w:t xml:space="preserve">                                 </w:t>
    </w:r>
    <w:r w:rsidRPr="003E3088">
      <w:rPr>
        <w:rFonts w:ascii="Montserrat Light" w:hAnsi="Montserrat Light"/>
        <w:sz w:val="16"/>
        <w:szCs w:val="16"/>
      </w:rPr>
      <w:t xml:space="preserve">Site Web : </w:t>
    </w:r>
    <w:hyperlink r:id="rId2" w:history="1">
      <w:r w:rsidRPr="00BE06B9">
        <w:rPr>
          <w:rStyle w:val="Lienhypertexte"/>
          <w:rFonts w:ascii="Montserrat Light" w:hAnsi="Montserrat Light"/>
          <w:sz w:val="16"/>
          <w:szCs w:val="16"/>
        </w:rPr>
        <w:t>www.insae.bj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0C" w:rsidRDefault="00AF0B0C">
      <w:r>
        <w:separator/>
      </w:r>
    </w:p>
  </w:footnote>
  <w:footnote w:type="continuationSeparator" w:id="0">
    <w:p w:rsidR="00AF0B0C" w:rsidRDefault="00AF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7D55"/>
    <w:multiLevelType w:val="multilevel"/>
    <w:tmpl w:val="E1C260A4"/>
    <w:lvl w:ilvl="0">
      <w:start w:val="1"/>
      <w:numFmt w:val="decimal"/>
      <w:lvlText w:val="2-1-3-%1-"/>
      <w:lvlJc w:val="left"/>
      <w:pPr>
        <w:tabs>
          <w:tab w:val="num" w:pos="108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pStyle w:val="Titre7"/>
      <w:lvlText w:val="%7.%2."/>
      <w:lvlJc w:val="left"/>
      <w:pPr>
        <w:tabs>
          <w:tab w:val="num" w:pos="720"/>
        </w:tabs>
        <w:ind w:left="357" w:hanging="357"/>
      </w:pPr>
    </w:lvl>
    <w:lvl w:ilvl="7">
      <w:start w:val="1"/>
      <w:numFmt w:val="decimal"/>
      <w:pStyle w:val="Titre8"/>
      <w:lvlText w:val="2-1-%8-"/>
      <w:lvlJc w:val="left"/>
      <w:pPr>
        <w:tabs>
          <w:tab w:val="num" w:pos="1080"/>
        </w:tabs>
        <w:ind w:left="357" w:hanging="357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0222A"/>
    <w:rsid w:val="00004172"/>
    <w:rsid w:val="000059D5"/>
    <w:rsid w:val="00035752"/>
    <w:rsid w:val="00050098"/>
    <w:rsid w:val="00054ECD"/>
    <w:rsid w:val="000564AC"/>
    <w:rsid w:val="00072E10"/>
    <w:rsid w:val="00084EF4"/>
    <w:rsid w:val="00094BD7"/>
    <w:rsid w:val="000A77CD"/>
    <w:rsid w:val="000C034E"/>
    <w:rsid w:val="000C045C"/>
    <w:rsid w:val="000E1B93"/>
    <w:rsid w:val="00123842"/>
    <w:rsid w:val="00136763"/>
    <w:rsid w:val="00173186"/>
    <w:rsid w:val="001B6976"/>
    <w:rsid w:val="001D4822"/>
    <w:rsid w:val="001E3533"/>
    <w:rsid w:val="001F366E"/>
    <w:rsid w:val="001F69B7"/>
    <w:rsid w:val="00210482"/>
    <w:rsid w:val="002125D3"/>
    <w:rsid w:val="0022162E"/>
    <w:rsid w:val="00224CE0"/>
    <w:rsid w:val="002255A6"/>
    <w:rsid w:val="0023329A"/>
    <w:rsid w:val="0024363F"/>
    <w:rsid w:val="00247EFC"/>
    <w:rsid w:val="00270350"/>
    <w:rsid w:val="00303A29"/>
    <w:rsid w:val="0031116D"/>
    <w:rsid w:val="00312780"/>
    <w:rsid w:val="003279E2"/>
    <w:rsid w:val="003630FB"/>
    <w:rsid w:val="0037638C"/>
    <w:rsid w:val="003810DB"/>
    <w:rsid w:val="00394837"/>
    <w:rsid w:val="003A472B"/>
    <w:rsid w:val="003A58C2"/>
    <w:rsid w:val="003A5EDF"/>
    <w:rsid w:val="003D74D0"/>
    <w:rsid w:val="003F3E32"/>
    <w:rsid w:val="00407AD8"/>
    <w:rsid w:val="004300FD"/>
    <w:rsid w:val="00435373"/>
    <w:rsid w:val="0044106A"/>
    <w:rsid w:val="0047318D"/>
    <w:rsid w:val="00477548"/>
    <w:rsid w:val="004807FF"/>
    <w:rsid w:val="004975EF"/>
    <w:rsid w:val="004A112E"/>
    <w:rsid w:val="004A53DB"/>
    <w:rsid w:val="004A79CB"/>
    <w:rsid w:val="004B763B"/>
    <w:rsid w:val="004C7DD8"/>
    <w:rsid w:val="004D2C4C"/>
    <w:rsid w:val="004E3322"/>
    <w:rsid w:val="004F4E4D"/>
    <w:rsid w:val="004F608A"/>
    <w:rsid w:val="00505858"/>
    <w:rsid w:val="00541AAC"/>
    <w:rsid w:val="00541FD8"/>
    <w:rsid w:val="0055445D"/>
    <w:rsid w:val="0056015F"/>
    <w:rsid w:val="0056396A"/>
    <w:rsid w:val="00575279"/>
    <w:rsid w:val="00577377"/>
    <w:rsid w:val="00577B98"/>
    <w:rsid w:val="005936FD"/>
    <w:rsid w:val="005C247F"/>
    <w:rsid w:val="00604952"/>
    <w:rsid w:val="0061502F"/>
    <w:rsid w:val="006175FA"/>
    <w:rsid w:val="00633C91"/>
    <w:rsid w:val="00653E15"/>
    <w:rsid w:val="0065724E"/>
    <w:rsid w:val="006724F5"/>
    <w:rsid w:val="00673D09"/>
    <w:rsid w:val="00680A55"/>
    <w:rsid w:val="00685E17"/>
    <w:rsid w:val="00697D39"/>
    <w:rsid w:val="006B01DD"/>
    <w:rsid w:val="006D0DC8"/>
    <w:rsid w:val="006E15DC"/>
    <w:rsid w:val="006F1ABD"/>
    <w:rsid w:val="006F2C0A"/>
    <w:rsid w:val="007200D2"/>
    <w:rsid w:val="00745105"/>
    <w:rsid w:val="00750583"/>
    <w:rsid w:val="00754E80"/>
    <w:rsid w:val="0077328A"/>
    <w:rsid w:val="00781637"/>
    <w:rsid w:val="00785070"/>
    <w:rsid w:val="007A640E"/>
    <w:rsid w:val="007C06D0"/>
    <w:rsid w:val="007C0E9C"/>
    <w:rsid w:val="007C4301"/>
    <w:rsid w:val="007D583F"/>
    <w:rsid w:val="007E3C35"/>
    <w:rsid w:val="007F35F1"/>
    <w:rsid w:val="00812FFA"/>
    <w:rsid w:val="0081458E"/>
    <w:rsid w:val="0084325D"/>
    <w:rsid w:val="00854D4F"/>
    <w:rsid w:val="008568AE"/>
    <w:rsid w:val="008571B3"/>
    <w:rsid w:val="008576C2"/>
    <w:rsid w:val="0087243C"/>
    <w:rsid w:val="00876CDB"/>
    <w:rsid w:val="00884664"/>
    <w:rsid w:val="00885FCF"/>
    <w:rsid w:val="00886E0E"/>
    <w:rsid w:val="008A26A2"/>
    <w:rsid w:val="008B0EC6"/>
    <w:rsid w:val="008B7B29"/>
    <w:rsid w:val="008D5DE6"/>
    <w:rsid w:val="008E115A"/>
    <w:rsid w:val="008F442A"/>
    <w:rsid w:val="00914C34"/>
    <w:rsid w:val="00936AEA"/>
    <w:rsid w:val="00943CDE"/>
    <w:rsid w:val="00957CEE"/>
    <w:rsid w:val="00976806"/>
    <w:rsid w:val="00976C53"/>
    <w:rsid w:val="0098533E"/>
    <w:rsid w:val="009C44BE"/>
    <w:rsid w:val="009D0D45"/>
    <w:rsid w:val="009D40AE"/>
    <w:rsid w:val="009D7752"/>
    <w:rsid w:val="009F48F6"/>
    <w:rsid w:val="009F70AC"/>
    <w:rsid w:val="00A0125F"/>
    <w:rsid w:val="00A07B7A"/>
    <w:rsid w:val="00A23C1B"/>
    <w:rsid w:val="00A24758"/>
    <w:rsid w:val="00A33A78"/>
    <w:rsid w:val="00A443AE"/>
    <w:rsid w:val="00A65550"/>
    <w:rsid w:val="00A80D2D"/>
    <w:rsid w:val="00A9209E"/>
    <w:rsid w:val="00A9307A"/>
    <w:rsid w:val="00AA02C1"/>
    <w:rsid w:val="00AA270F"/>
    <w:rsid w:val="00AA3CB9"/>
    <w:rsid w:val="00AB0178"/>
    <w:rsid w:val="00AD28C8"/>
    <w:rsid w:val="00AE4AA5"/>
    <w:rsid w:val="00AF0B0C"/>
    <w:rsid w:val="00AF31BE"/>
    <w:rsid w:val="00B029AB"/>
    <w:rsid w:val="00B1593F"/>
    <w:rsid w:val="00B2342E"/>
    <w:rsid w:val="00B273FC"/>
    <w:rsid w:val="00B365B2"/>
    <w:rsid w:val="00B5021C"/>
    <w:rsid w:val="00B73565"/>
    <w:rsid w:val="00B85851"/>
    <w:rsid w:val="00BA27EC"/>
    <w:rsid w:val="00BA6616"/>
    <w:rsid w:val="00BA6A5D"/>
    <w:rsid w:val="00BD1C35"/>
    <w:rsid w:val="00BE1650"/>
    <w:rsid w:val="00BE522C"/>
    <w:rsid w:val="00BE5A34"/>
    <w:rsid w:val="00BF0816"/>
    <w:rsid w:val="00C31238"/>
    <w:rsid w:val="00C408A6"/>
    <w:rsid w:val="00C408C6"/>
    <w:rsid w:val="00C50A34"/>
    <w:rsid w:val="00C70193"/>
    <w:rsid w:val="00C94213"/>
    <w:rsid w:val="00C97093"/>
    <w:rsid w:val="00D00B8E"/>
    <w:rsid w:val="00D01B6F"/>
    <w:rsid w:val="00D10BF1"/>
    <w:rsid w:val="00D264AF"/>
    <w:rsid w:val="00D26A91"/>
    <w:rsid w:val="00D35C38"/>
    <w:rsid w:val="00DB3A70"/>
    <w:rsid w:val="00DB58B4"/>
    <w:rsid w:val="00DD2F25"/>
    <w:rsid w:val="00DD6888"/>
    <w:rsid w:val="00DE0A75"/>
    <w:rsid w:val="00DE3E5B"/>
    <w:rsid w:val="00DE5EE8"/>
    <w:rsid w:val="00E05164"/>
    <w:rsid w:val="00E11D2A"/>
    <w:rsid w:val="00E231E2"/>
    <w:rsid w:val="00E32D5F"/>
    <w:rsid w:val="00E32E1B"/>
    <w:rsid w:val="00E40714"/>
    <w:rsid w:val="00E411CC"/>
    <w:rsid w:val="00E44479"/>
    <w:rsid w:val="00E51260"/>
    <w:rsid w:val="00E60C38"/>
    <w:rsid w:val="00E74B24"/>
    <w:rsid w:val="00E9172E"/>
    <w:rsid w:val="00E9552B"/>
    <w:rsid w:val="00E97268"/>
    <w:rsid w:val="00EA216C"/>
    <w:rsid w:val="00EB475A"/>
    <w:rsid w:val="00EB67AE"/>
    <w:rsid w:val="00EB7EC5"/>
    <w:rsid w:val="00EE5339"/>
    <w:rsid w:val="00EE5DB4"/>
    <w:rsid w:val="00EE7342"/>
    <w:rsid w:val="00EF399E"/>
    <w:rsid w:val="00F058ED"/>
    <w:rsid w:val="00F05B0E"/>
    <w:rsid w:val="00F36FC8"/>
    <w:rsid w:val="00F428C0"/>
    <w:rsid w:val="00F55C2B"/>
    <w:rsid w:val="00F56BF2"/>
    <w:rsid w:val="00F5764C"/>
    <w:rsid w:val="00F76A65"/>
    <w:rsid w:val="00F84B76"/>
    <w:rsid w:val="00F8530E"/>
    <w:rsid w:val="00FA37EC"/>
    <w:rsid w:val="00FB028A"/>
    <w:rsid w:val="00FB64A3"/>
    <w:rsid w:val="00FC6557"/>
    <w:rsid w:val="00FE43BD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4599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paragraph" w:styleId="Titre7">
    <w:name w:val="heading 7"/>
    <w:basedOn w:val="Normal"/>
    <w:next w:val="Normal"/>
    <w:link w:val="Titre7Car"/>
    <w:qFormat/>
    <w:rsid w:val="00270350"/>
    <w:pPr>
      <w:numPr>
        <w:ilvl w:val="6"/>
        <w:numId w:val="2"/>
      </w:numPr>
      <w:spacing w:before="240" w:after="60"/>
      <w:outlineLvl w:val="6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paragraph" w:styleId="Titre8">
    <w:name w:val="heading 8"/>
    <w:basedOn w:val="Normal"/>
    <w:next w:val="Normal"/>
    <w:link w:val="Titre8Car"/>
    <w:qFormat/>
    <w:rsid w:val="00270350"/>
    <w:pPr>
      <w:numPr>
        <w:ilvl w:val="7"/>
        <w:numId w:val="2"/>
      </w:numPr>
      <w:spacing w:before="240" w:after="60"/>
      <w:outlineLvl w:val="7"/>
    </w:pPr>
    <w:rPr>
      <w:rFonts w:ascii="Arial" w:hAnsi="Arial" w:cs="Times New Roman"/>
      <w:b/>
      <w:bCs/>
      <w:sz w:val="26"/>
      <w:szCs w:val="26"/>
      <w:lang w:eastAsia="fr-FR"/>
    </w:rPr>
  </w:style>
  <w:style w:type="paragraph" w:styleId="Titre9">
    <w:name w:val="heading 9"/>
    <w:basedOn w:val="Normal"/>
    <w:next w:val="Normal"/>
    <w:link w:val="Titre9Car"/>
    <w:qFormat/>
    <w:rsid w:val="00270350"/>
    <w:pPr>
      <w:numPr>
        <w:ilvl w:val="8"/>
        <w:numId w:val="2"/>
      </w:numPr>
      <w:spacing w:before="240" w:after="60"/>
      <w:outlineLvl w:val="8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6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6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279"/>
    <w:rPr>
      <w:rFonts w:ascii="Calibri" w:eastAsia="Times New Roman" w:hAnsi="Calibri" w:cs="Calibri"/>
    </w:rPr>
  </w:style>
  <w:style w:type="character" w:customStyle="1" w:styleId="Titre7Car">
    <w:name w:val="Titre 7 Car"/>
    <w:basedOn w:val="Policepardfaut"/>
    <w:link w:val="Titre7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rsid w:val="00270350"/>
    <w:rPr>
      <w:rFonts w:ascii="Arial" w:eastAsia="Times New Roman" w:hAnsi="Arial" w:cs="Times New Roman"/>
      <w:b/>
      <w:bCs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table" w:styleId="Grilledutableau">
    <w:name w:val="Table Grid"/>
    <w:basedOn w:val="TableauNormal"/>
    <w:uiPriority w:val="39"/>
    <w:rsid w:val="0009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.bj" TargetMode="External"/><Relationship Id="rId1" Type="http://schemas.openxmlformats.org/officeDocument/2006/relationships/hyperlink" Target="mailto:insae@insae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asatcha</dc:creator>
  <cp:lastModifiedBy>Utilisateur</cp:lastModifiedBy>
  <cp:revision>3</cp:revision>
  <cp:lastPrinted>2021-09-21T14:04:00Z</cp:lastPrinted>
  <dcterms:created xsi:type="dcterms:W3CDTF">2021-09-28T07:45:00Z</dcterms:created>
  <dcterms:modified xsi:type="dcterms:W3CDTF">2021-09-28T08:30:00Z</dcterms:modified>
</cp:coreProperties>
</file>